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Shielded lens óptica, blanco policarbonato (PC), extensiva media distribución luminosa.</w:t>
      </w:r>
    </w:p>
    <w:p>
      <w:pPr>
        <w:numPr>
          <w:ilvl w:val="0"/>
          <w:numId w:val="3"/>
        </w:numPr>
      </w:pPr>
      <w:r>
        <w:rPr/>
        <w:t xml:space="preserve">Dimensiones: 1371 mm x 60 mm x 90 mm.</w:t>
      </w:r>
    </w:p>
    <w:p>
      <w:pPr>
        <w:numPr>
          <w:ilvl w:val="0"/>
          <w:numId w:val="3"/>
        </w:numPr>
      </w:pPr>
      <w:r>
        <w:rPr/>
        <w:t xml:space="preserve">Shielded lens: la fuente de luz se oculta a la vista en lentes apantalladas, la distribución de la luz se realiza con la lente. Dos lentes por unidad de apantallamiento.</w:t>
      </w:r>
    </w:p>
    <w:p>
      <w:pPr>
        <w:numPr>
          <w:ilvl w:val="0"/>
          <w:numId w:val="3"/>
        </w:numPr>
      </w:pPr>
      <w:r>
        <w:rPr/>
        <w:t xml:space="preserve">Flujo luminoso: 2850 lm, Flujo luminoso específico: 138 lm/W.</w:t>
      </w:r>
    </w:p>
    <w:p>
      <w:pPr>
        <w:numPr>
          <w:ilvl w:val="0"/>
          <w:numId w:val="3"/>
        </w:numPr>
      </w:pPr>
      <w:r>
        <w:rPr/>
        <w:t xml:space="preserve">Consumo de energía: 20.7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Shielded lens para distribución de luz sin deslumbramiento con UGR &lt;= 19 y luminancias @ 65° 3000 Cd/m² cd/m² conforme a la norma EN 12464-1 para exigencia visual alta,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91000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2025-03-03T15:49:45+01:00</dcterms:created>
  <dcterms:modified xsi:type="dcterms:W3CDTF">2025-03-03T15:49:45+01:00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