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V3RS10M/W6M0D0X1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Luminaire architectural.</w:t>
      </w:r>
    </w:p>
    <w:p>
      <w:pPr>
        <w:numPr>
          <w:ilvl w:val="0"/>
          <w:numId w:val="3"/>
        </w:numPr>
      </w:pPr>
      <w:r>
        <w:rPr/>
        <w:t xml:space="preserve">Shielded lens , optique blanc polycarbonate (PC), distribution lumineuse moyennement extensive .</w:t>
      </w:r>
    </w:p>
    <w:p>
      <w:pPr>
        <w:numPr>
          <w:ilvl w:val="0"/>
          <w:numId w:val="3"/>
        </w:numPr>
      </w:pPr>
      <w:r>
        <w:rPr/>
        <w:t xml:space="preserve">Dimensions: 2739 mm x 60 mm x 90 mm.</w:t>
      </w:r>
    </w:p>
    <w:p>
      <w:pPr>
        <w:numPr>
          <w:ilvl w:val="0"/>
          <w:numId w:val="3"/>
        </w:numPr>
      </w:pPr>
      <w:r>
        <w:rPr/>
        <w:t xml:space="preserve">Flux lumineux: 5400 lm, Efficacité lumineuse: 138 lm/W.</w:t>
      </w:r>
    </w:p>
    <w:p>
      <w:pPr>
        <w:numPr>
          <w:ilvl w:val="0"/>
          <w:numId w:val="3"/>
        </w:numPr>
      </w:pPr>
      <w:r>
        <w:rPr/>
        <w:t xml:space="preserve">Consommation de courant: 39.2 W, DALI gradable.</w:t>
      </w:r>
    </w:p>
    <w:p>
      <w:pPr>
        <w:numPr>
          <w:ilvl w:val="0"/>
          <w:numId w:val="3"/>
        </w:numPr>
      </w:pPr>
      <w:r>
        <w:rPr/>
        <w:t xml:space="preserve">Fréquence: 50-60Hz AC.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96%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couleur: 3000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Lentille protégée pour une distribution lumineuse sans éblouissement avec UGR &lt;= {{object.ugrClass} et luminances @ 65° {{object.luminanceClass}} cd/m² conforme à la norme EN 12464-1 pour des exigences visuelles élevées, par ex. écran d'affichage, bureaux.</w:t>
      </w:r>
    </w:p>
    <w:p>
      <w:pPr>
        <w:numPr>
          <w:ilvl w:val="0"/>
          <w:numId w:val="3"/>
        </w:numPr>
      </w:pPr>
      <w:r>
        <w:rPr/>
        <w:t xml:space="preserve">Sécurité photobiologique IEC/TR 62778: RG1.</w:t>
      </w:r>
    </w:p>
    <w:p>
      <w:pPr>
        <w:numPr>
          <w:ilvl w:val="0"/>
          <w:numId w:val="3"/>
        </w:numPr>
      </w:pPr>
      <w:r>
        <w:rPr/>
        <w:t xml:space="preserve">Caisson: aluminium laqué, RAL9003 - blanc de sécurité (texturé).</w:t>
      </w:r>
    </w:p>
    <w:p>
      <w:pPr>
        <w:numPr>
          <w:ilvl w:val="0"/>
          <w:numId w:val="3"/>
        </w:numPr>
      </w:pPr>
      <w:r>
        <w:rPr/>
        <w:t xml:space="preserve">Degré de protection IP: IP20.</w:t>
      </w:r>
    </w:p>
    <w:p>
      <w:pPr>
        <w:numPr>
          <w:ilvl w:val="0"/>
          <w:numId w:val="3"/>
        </w:numPr>
      </w:pPr>
      <w:r>
        <w:rPr/>
        <w:t xml:space="preserve">Degré de protection IK: IK07.</w:t>
      </w:r>
    </w:p>
    <w:p>
      <w:pPr>
        <w:numPr>
          <w:ilvl w:val="0"/>
          <w:numId w:val="3"/>
        </w:numPr>
      </w:pPr>
      <w:r>
        <w:rPr/>
        <w:t xml:space="preserve">Essai au fil incandescent: 650°C.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>
      <w:pPr>
        <w:numPr>
          <w:ilvl w:val="0"/>
          <w:numId w:val="3"/>
        </w:numPr>
      </w:pPr>
      <w:r>
        <w:rPr/>
        <w:t xml:space="preserve">Accessoires nécessaires au montage, choix parmi : V3H2500, V3H9900, V3H9960.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790BF59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2024-02-29T14:20:25+01:00</dcterms:created>
  <dcterms:modified xsi:type="dcterms:W3CDTF">2024-02-29T14:20:25+01:00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