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V3RS10M/W6M0D0X2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Luminária arquitetónica.</w:t>
      </w:r>
    </w:p>
    <w:p>
      <w:pPr>
        <w:numPr>
          <w:ilvl w:val="0"/>
          <w:numId w:val="3"/>
        </w:numPr>
      </w:pPr>
      <w:r>
        <w:rPr/>
        <w:t xml:space="preserve">Shielded lens optics, branco policarbonato (PC), extensiva média distribuição luminosa.</w:t>
      </w:r>
    </w:p>
    <w:p>
      <w:pPr>
        <w:numPr>
          <w:ilvl w:val="0"/>
          <w:numId w:val="3"/>
        </w:numPr>
      </w:pPr>
      <w:r>
        <w:rPr/>
        <w:t xml:space="preserve">Dimensões: 2739 mm x 60 mm x 90 mm.</w:t>
      </w:r>
    </w:p>
    <w:p>
      <w:pPr>
        <w:numPr>
          <w:ilvl w:val="0"/>
          <w:numId w:val="3"/>
        </w:numPr>
      </w:pPr>
      <w:r>
        <w:rPr/>
        <w:t xml:space="preserve">Shielded Lens (Lente blindada): a fonte de luz é escondida da vista por unidades de blindagem, a distribuição da luz é feita com uma lente. Duas lentes por cavidade de blindagem.</w:t>
      </w:r>
    </w:p>
    <w:p>
      <w:pPr>
        <w:numPr>
          <w:ilvl w:val="0"/>
          <w:numId w:val="3"/>
        </w:numPr>
      </w:pPr>
      <w:r>
        <w:rPr/>
        <w:t xml:space="preserve">Fluxo luminoso: 5400 lm, Fluxo luminoso específico: 138 lm/W.</w:t>
      </w:r>
    </w:p>
    <w:p>
      <w:pPr>
        <w:numPr>
          <w:ilvl w:val="0"/>
          <w:numId w:val="3"/>
        </w:numPr>
      </w:pPr>
      <w:r>
        <w:rPr/>
        <w:t xml:space="preserve">Potência: 39.2 W, DALI regulável.</w:t>
      </w:r>
    </w:p>
    <w:p>
      <w:pPr>
        <w:numPr>
          <w:ilvl w:val="0"/>
          <w:numId w:val="3"/>
        </w:numPr>
      </w:pPr>
      <w:r>
        <w:rPr/>
        <w:t xml:space="preserve">Frequência: 50-60Hz AC.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Classe de isolamento: classe 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96%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3000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Shielded lens para distribuição de luz sem sem encandeamento com UGR &lt;= 19 e luminâncias @ @ 65° 3000 Cd/m² cd/m² em conformidade com a norma EN 12464-1 para exigências visuais elevadas, por exemplo, locais com display/ecrans.</w:t>
      </w:r>
    </w:p>
    <w:p>
      <w:pPr>
        <w:numPr>
          <w:ilvl w:val="0"/>
          <w:numId w:val="3"/>
        </w:numPr>
      </w:pPr>
      <w:r>
        <w:rPr/>
        <w:t xml:space="preserve">Segurança fotobiológica IEC/TR 62778: RG1.</w:t>
      </w:r>
    </w:p>
    <w:p>
      <w:pPr>
        <w:numPr>
          <w:ilvl w:val="0"/>
          <w:numId w:val="3"/>
        </w:numPr>
      </w:pPr>
      <w:r>
        <w:rPr/>
        <w:t xml:space="preserve">Alumínio lacado base, RAL9006 - alumínio branco (texturado).</w:t>
      </w:r>
    </w:p>
    <w:p>
      <w:pPr>
        <w:numPr>
          <w:ilvl w:val="0"/>
          <w:numId w:val="3"/>
        </w:numPr>
      </w:pPr>
      <w:r>
        <w:rPr/>
        <w:t xml:space="preserve">Grau de protecção IP: IP20.</w:t>
      </w:r>
    </w:p>
    <w:p>
      <w:pPr>
        <w:numPr>
          <w:ilvl w:val="0"/>
          <w:numId w:val="3"/>
        </w:numPr>
      </w:pPr>
      <w:r>
        <w:rPr/>
        <w:t xml:space="preserve">Grau de protecção IK: IK07.</w:t>
      </w:r>
    </w:p>
    <w:p>
      <w:pPr>
        <w:numPr>
          <w:ilvl w:val="0"/>
          <w:numId w:val="3"/>
        </w:numPr>
      </w:pPr>
      <w:r>
        <w:rPr/>
        <w:t xml:space="preserve">Teste ao fio encandescente: 650°C.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>
      <w:pPr>
        <w:numPr>
          <w:ilvl w:val="0"/>
          <w:numId w:val="3"/>
        </w:numPr>
      </w:pPr>
      <w:r>
        <w:rPr/>
        <w:t xml:space="preserve">Acessórios necessários para montagem, selecione entre: V3H2500, V3H9900, V3H9960.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784F6A2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2024-02-29T14:20:38+01:00</dcterms:created>
  <dcterms:modified xsi:type="dcterms:W3CDTF">2024-02-29T14:20:38+01:00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