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V3SB10M/N4MMD0X0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1827 mm x 60 mm x 90 mm.</w:t>
      </w:r>
    </w:p>
    <w:p>
      <w:pPr>
        <w:numPr>
          <w:ilvl w:val="0"/>
          <w:numId w:val="3"/>
        </w:numPr>
      </w:pPr>
      <w:r>
        <w:rPr/>
        <w:t xml:space="preserve">Flux lumineux: 7000 lm, Efficacité lumineuse: 133 lm/W.</w:t>
      </w:r>
    </w:p>
    <w:p>
      <w:pPr>
        <w:numPr>
          <w:ilvl w:val="0"/>
          <w:numId w:val="3"/>
        </w:numPr>
      </w:pPr>
      <w:r>
        <w:rPr/>
        <w:t xml:space="preserve">Consommation de courant: 52.6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2F0D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2023-10-27T18:56:55+02:00</dcterms:created>
  <dcterms:modified xsi:type="dcterms:W3CDTF">2023-10-27T18:56:55+02:00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