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extrem bredstrålande ljusfördelning.</w:t>
      </w:r>
    </w:p>
    <w:p>
      <w:pPr>
        <w:numPr>
          <w:ilvl w:val="0"/>
          <w:numId w:val="3"/>
        </w:numPr>
      </w:pPr>
      <w:r>
        <w:rPr/>
        <w:t xml:space="preserve">Dimensioner: 2283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3650 lm, Specifikt ljusutbyte: 140 lm/W.</w:t>
      </w:r>
    </w:p>
    <w:p>
      <w:pPr>
        <w:numPr>
          <w:ilvl w:val="0"/>
          <w:numId w:val="3"/>
        </w:numPr>
      </w:pPr>
      <w:r>
        <w:rPr/>
        <w:t xml:space="preserve">Energiförbrukning: 26.1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1000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6B78FF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2025-03-03T16:36:20+01:00</dcterms:created>
  <dcterms:modified xsi:type="dcterms:W3CDTF">2025-03-03T16:36:20+01:00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