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difusor optics, acrílico (PMMA) opalino, extensiva distribuição luminosa.</w:t>
      </w:r>
    </w:p>
    <w:p>
      <w:pPr>
        <w:numPr>
          <w:ilvl w:val="0"/>
          <w:numId w:val="3"/>
        </w:numPr>
      </w:pPr>
      <w:r>
        <w:rPr/>
        <w:t xml:space="preserve">Dimensões: 2523 mm x 60 mm x 90 mm.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9200 lm, Fluxo luminoso específico: 134 lm/W.</w:t>
      </w:r>
    </w:p>
    <w:p>
      <w:pPr>
        <w:numPr>
          <w:ilvl w:val="0"/>
          <w:numId w:val="3"/>
        </w:numPr>
      </w:pPr>
      <w:r>
        <w:rPr/>
        <w:t xml:space="preserve">Potência: 68.7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F034E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2023-09-27T14:31:12+02:00</dcterms:created>
  <dcterms:modified xsi:type="dcterms:W3CDTF">2023-09-27T14:31:12+02:00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