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arquitectónica.</w:t>
      </w:r>
    </w:p>
    <w:p>
      <w:pPr>
        <w:numPr>
          <w:ilvl w:val="0"/>
          <w:numId w:val="3"/>
        </w:numPr>
      </w:pPr>
      <w:r>
        <w:rPr/>
        <w:t xml:space="preserve">difusor óptica, acrílico (PMMA) opalescente, extensiva distribución luminosa.</w:t>
      </w:r>
    </w:p>
    <w:p>
      <w:pPr>
        <w:numPr>
          <w:ilvl w:val="0"/>
          <w:numId w:val="3"/>
        </w:numPr>
      </w:pPr>
      <w:r>
        <w:rPr/>
        <w:t xml:space="preserve">Dimensiones: 2523 mm x 60 mm x 90 mm.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8800 lm, Flujo luminoso específico: 128 lm/W.</w:t>
      </w:r>
    </w:p>
    <w:p>
      <w:pPr>
        <w:numPr>
          <w:ilvl w:val="0"/>
          <w:numId w:val="3"/>
        </w:numPr>
      </w:pPr>
      <w:r>
        <w:rPr/>
        <w:t xml:space="preserve">Consumo de energía: 68.7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C73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2023-09-27T14:31:18+02:00</dcterms:created>
  <dcterms:modified xsi:type="dcterms:W3CDTF">2023-09-27T14:31:18+02:00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