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V3WDJ0M/N5L0D0X1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wide-angle light distribution.</w:t>
      </w:r>
    </w:p>
    <w:p>
      <w:pPr>
        <w:numPr>
          <w:ilvl w:val="0"/>
          <w:numId w:val="3"/>
        </w:numPr>
      </w:pPr>
      <w:r>
        <w:rPr/>
        <w:t xml:space="preserve">Dimensions: 1403 mm x 60 mm x 90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2350 lm, Luminous efficacy: 117 lm/W.</w:t>
      </w:r>
    </w:p>
    <w:p>
      <w:pPr>
        <w:numPr>
          <w:ilvl w:val="0"/>
          <w:numId w:val="3"/>
        </w:numPr>
      </w:pPr>
      <w:r>
        <w:rPr/>
        <w:t xml:space="preserve">Power: 20.1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Lacquered aluminium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D677C4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2025-03-04T16:25:05+01:00</dcterms:created>
  <dcterms:modified xsi:type="dcterms:W3CDTF">2025-03-04T16:25:05+01:00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