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/>
      <w:r>
        <w:rPr>
          <w:rStyle w:val="regular-text"/>
        </w:rPr>
        <w:t xml:space="preserve">. Dimensiones: . Clase de aislamiento: clase . LED con superior factor de mantenimiento; después 50.000 horas de funcionamiento, el aparato conserva el 0% de su corriente de fluxo luminoso. Temperatura de color correlacionada: , Reproducción de los colores ra: . Coincidencia de color de desviación estándar : 3SDCM. Seguridad fotobiológic . . 5 años de garantía en luminarias y controlador. Certificaciones: 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2024-06-03T09:40:56+02:00</dcterms:created>
  <dcterms:modified xsi:type="dcterms:W3CDTF">2024-06-03T09:40:56+02:00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