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3450 lm, Flujo luminoso específico: 138 lm/W. Consumo de energía: 25.0 W, no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