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3050 lm, Specifikt ljusutbyte: 105 lm/W. Energiförbrukning: 29.0 W, DALI reglerbar. Frekvens: 50Hz AC. Spänning: 230-240V. isoleringsklass: class I. LED med överlägset bibehållningsfaktor; efter 50000 brinntimmar behåller fixturen 97%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