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2200 lm, Specifikt ljusutbyte: 110 lm/W. Energiförbrukning: 20.0 W, DALI reglerbar. Frekvens: 50Hz AC. Spänning: 230-240V. isoleringsklass: class I. LED med överlägset bibehållningsfaktor; efter 50000 brinntimmar behåller fixturen 98%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