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2200 lm, Specifikt ljusutbyte: 110 lm/W. Energiförbrukning: 20.0 W, DALI reglerbar. Frekvens: 50Hz AC. Spänning: 230-240V. isoleringsklass: class I. LED med överlägset bibehållningsfaktor; efter 50000 brinntimmar behåller fixturen 98% av sin initiala ljusflöde. Korrelerad färgtemperatura: 3000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