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2200 lm, Flujo luminoso específico: 105 lm/W. Consumo de energía: 21.0 W, no regulable. Frecuencia: 50Hz AC. Tensión: 230-240V.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