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2900 lm, Specifikt ljusutbyte: 100 lm/W. Energiförbrukning: 29.0 W, DALI reglerbar. Frekvens: 50Hz AC. Spänning: 230-240V. isoleringsklass: class I. LED med överlägset bibehållningsfaktor; efter 50000 brinntimmar behåller fixturen 96%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