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2250 lm, Specifikt ljusutbyte: 125 lm/W. Energiförbrukning: 18.0 W, DALI reglerbar. Frekvens: 50-60Hz AC. Spänning: 220-240V. isoleringsklass: class II. LED med överlägset bibehållningsfaktor; efter 50000 brinntimmar behåller fixturen 98% av sin initiala ljusflöde. Korrelerad färgtemperatura: 4000 K, Färgåtergivning ra: 80. Färgavvikelse tolerans: 3 SDCM. LED+LENS™ med UGR &lt;= 22 och luminanser vid @ 65° 3000 Cd/m²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