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2600 lm, Fluxo luminoso específico: 137 lm/W. Potência: 19.0 W, DALI regulável. Frequência: 50-60Hz AC.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