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2050 lm, Flujo luminoso específico: 113 lm/W. Consumo de energía: 18.1 W, Controlador DALI controlado por sensor integrado. Frecuencia: 50-60Hz AC/DC.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