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2050 lm, Fluxo luminoso específico: 111 lm/W. Potência: 18.5 W, não regulável. Frequência: 50-60Hz AC/DC.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