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4800 lm, Flujo luminoso específico: 133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