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4000 mm x 60 mm x 135 mm. Flujo luminoso: 9650 lm, Flujo luminoso específico: 129 lm/W. Consumo de energía: 75.0 W, Controlador DALI controlado por sensor integrado.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