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com design elegante. DUAL●LENS optics, policarbonato (PC), intensiva distribuição luminosa. Dimensões: 4000 mm x 60 mm x 135 mm. Fluxo luminoso: 12550 lm, Fluxo luminoso específico: 123 lm/W. Potência: 102.0 W, DALI driver controlado por sensor integrado.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Alumínio lacado base, RAL9016 - tráfego branco (texturado). Grau de protecção IP: IP20. Grau de protecção IK: IK06.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