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4800 lm, Fluxo luminoso específico: 133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