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6550 lm, Fluxo luminoso específico: 128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