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6550 lm, Fluxo luminoso específico: 134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