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4950 lm, Flujo luminoso específico: 138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