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5050 lm, Flujo luminoso específico: 133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