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9750 lm, Flujo luminoso específico: 133 lm/W. Consumo de energía: 73.5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