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590 lm, Spezifischer Lichtstrom: 98 lm/W. Stromverbrauch: 6.0 W, DALI dimmbar. Frequenz: 50-60Hz AC. Spannung: 110-240V. Schutzklasse: Klasse II.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