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590 lm, Luminous efficacy: 98 lm/W. Power: 6.0 W, DALI dimmable. Frequency: 50-60Hz AC. Voltage: 110-240V. Electrical isolation class: class II. LED with very good light maintenance; at 50000 hrs the luminaire retains 98% of it's initial flux (Tq=25°C). Correlated colour temperature: 4000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