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1250 lm, Fluxo luminoso específico: 104 lm/W. Potência: 12.0 W, DALI regulável. Frequência: 50-60Hz AC. Tensão: 110-240V. Classe de isolamento: classe II. LED com manutenção de luz superior; após 50.000 horas de funcionamento a luminária retém 97%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