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distribuição luminosa. Acabamento branco (RAL9003) e parte interior preta (RAL9005); outras cores RAL possíveis a pedido. Dimensões: Ø 98 mm x 63 mm. individual redondo Recorte no teto: Ø 81 mm. Fluxo luminoso: 1250 lm, Fluxo luminoso específico: 104 lm/W. Potência: 12.0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