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Fluxo luminoso em estado de emergência: 300 lm. Potência: 4.8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Contém módulo de comunicação MSÜ3 endereçável, para uso com um sistema de bateria central.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