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Alimentação central.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Fluxo luminoso em estado de emergência: 300 lm. Potência: 3.9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Para uso com sistemas de bateria central em 230 V AC/DC.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