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Quadratische Antipanik-Lichtverteilung, optimiert zur Vermeidung unbeleuchteter Teilflächen. Leuchten-Lichtstrom im Notbetrieb: 288 lm. Anschlussleistung: 0.9 W. Montageabstand (Antipanik Beleuchtung): 11.7 m Zwischenabstand („b“) bei 2.8 m Montagehöhe für 1 lx auf Bodenniveau.  13.3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