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Bdr>
          <w:bottom w:val="single" w:sz="10" w:color="000000"/>
        </w:pBdr>
      </w:pPr>
      <w:r>
        <w:rPr>
          <w:rStyle w:val="title"/>
        </w:rPr>
        <w:t xml:space="preserve">K6A-R20-1M0-20-1L0</w:t>
      </w:r>
    </w:p>
    <w:p/>
    <w:p>
      <w:pPr/>
      <w:r>
        <w:pict>
          <v:shape type="#_x0000_t75" stroked="f" style="width:250pt; height:188.54166666667pt; margin-left:1pt; margin-top:-1pt; position:relative; mso-position-horizontal:left; mso-position-vertical:top; mso-position-horizontal-relative:char; mso-position-vertical-relative:line;">
            <w10:wrap type="topAndBottom"/>
            <v:imagedata r:id="rId7" o:title=""/>
          </v:shape>
        </w:pict>
      </w:r>
    </w:p>
    <w:p>
      <w:pPr/>
      <w:r>
        <w:rPr>
          <w:rStyle w:val="regular-text"/>
        </w:rPr>
        <w:t xml:space="preserve">Diseño minimalista alumbrado de emergencia cuadrada para ví­as de evacuación. Montaje empotrado. Luminaria autónoma (contiene batería). Dimensiones: 80 mm x 80 mm x 50 mm. Distribución de la luz lineal, adecuado para dar 1 lux en el eje de la vía de evacuación. Lumen emergencia: 200 lm. Consumo de energía: 0.2 W.   Tensión: 220-240V. Autonomia: 60 minutos. La luminaria indica datos de la lámpara, fecha y tipo de batería, según la norma EN 60598-2.22. Batería: 1 x LiFePO4 3,2V 1,5Ah. Test de fonctionamiento semanal automático, test de duración de batería cada 13 semanas, según la norma EN 50172 y EN 62034. Clase de aislamiento: clase II. Seguridad fotobiológic IEC/TR 62778: RG1. Cubierta de aluminio con revestimiento texturizado, policarbonato carcasa, RAL9003 - blanco / Configurable. Grado de protección IP: IP20. Grado de protección IK: IK04. Comprobación del filamento: 850°C. Certificaciones: CE. La luminaria ha sido desarrollada y producida según la norma EN 60598-1 en una empresa certificada ISO 9001 e ISO 14001.</w:t>
      </w:r>
    </w:p>
    <w:p/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regular-text"/>
    <w:rPr>
      <w:rFonts w:ascii="Calibri" w:hAnsi="Calibri" w:eastAsia="Calibri" w:cs="Calibri"/>
      <w:color w:val="1f1f1f"/>
      <w:sz w:val="24"/>
      <w:szCs w:val="24"/>
      <w:b w:val="0"/>
      <w:bCs w:val="0"/>
    </w:rPr>
  </w:style>
  <w:style w:type="character">
    <w:name w:val="title"/>
    <w:rPr>
      <w:rFonts w:ascii="Calibri" w:hAnsi="Calibri" w:eastAsia="Calibri" w:cs="Calibri"/>
      <w:color w:val="1f1f1f"/>
      <w:sz w:val="28"/>
      <w:szCs w:val="28"/>
      <w:b w:val="0"/>
      <w:b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2025-10-22T14:02:51+02:00</dcterms:created>
  <dcterms:modified xsi:type="dcterms:W3CDTF">2025-10-22T14:02:51+02:00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