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3.9 W. Tussenafstand vluchtweg: bij een montagehoogte van 2.8 m bedraagt de verlichtingssterkte op de vloer 1 lux bij een tussenafstand ("b") van 20.7 m. Spanning: 220-230V. Voor gebruik met centraal batterijsysteem op 230 V AC/DC. Isolatieklasse: klasse II. Fotobiologische veiligheid EN 62471: RISK GROUP 1 UNLIMITED. Gepoederlakt zamak gietstuk behuizing, RAL9006 - aluminiumwit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