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PROWKE-PIMCORE01/LEDN20D</w:t>
      </w:r>
    </w:p>
    <w:p/>
    <w:p>
      <w:pPr/>
      <w:r>
        <w:rPr>
          <w:rStyle w:val="regular-text"/>
        </w:rPr>
        <w:t xml:space="preserve">. Dimensioner: 620 mm x 80 mm x 135 mm. M300, installation i undertak 1200 x 300 med synligt bärverk. Ljusflöde: 253 lm, Specifikt ljusutbyte: 76 lm/W. Energiförbrukning: 3.3 W, ej dimbar. Frekvens: 50-60Hz AC. Spänning: 220-240V. isoleringsklass: class I. LED med överlägset bibehållningsfaktor; efter 50000 brinntimmar behåller fixturen 0% av sin initiala ljusflöde. Korrelerad färgtemperatura: 5000 K, Färgåtergivning ra: 80. Färgavvikelse tolerans: 3 SDCM. Fotobiologisk säkerhet EN 62471: RISK GROUP 1 UNLIMITED. RAL7035 - grå. Frånluft: 20 cm² ATEX klassning: II 2D Ex tb IIIC T80°C Db, II 3G Ex ec IIC T4 Gc. Glödtrådstest: 850°C. 5 års garanti på armatur och drivenhet. Certifieringar: CE, ATEX,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2022-08-26T08:14:37+02:00</dcterms:created>
  <dcterms:modified xsi:type="dcterms:W3CDTF">2022-08-26T08:14:37+02:00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