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4150 lm, Flujo luminoso específico: 143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