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moyennement extensive . Structure aux angles arrondis sans pliure ni soudure, hauteur 20mm visibles. Unités de protection avec extrémités arrondies. Dimensions: 630 mm x 630 mm x 35 mm. Flux lumineux: 4200 lm, Efficacité lumineuse: 145 lm/W. Consommation de courant: 29.0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