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2950 lm, Fluxo luminoso específico: 148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