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2950 lm, Fluxo luminoso específico: 160 lm/W. Potência: 18.5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