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3100 lm, Specifikt ljusutbyte: 135 lm/W. Energiförbrukning: 23.0 W, DALI reglerbar, med dagsljussensor ELS.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