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R710R1/LEDW1820DX2</w:t>
      </w:r>
    </w:p>
    <w:p/>
    <w:p>
      <w:pPr/>
      <w:r>
        <w:rPr>
          <w:rStyle w:val="regular-text"/>
        </w:rPr>
        <w:t xml:space="preserve">Rectangulaire luminaire en saillie, LED+LENS™ optique, lentilles et
cônes en Polycarbonate (PC), moyennement extensive distribution
lumineuse. Dimensions: 1500 mm x 75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2250 lm, Flux lumineux spécifique: 118 lm/W. Consommation de courant: 19.0 W, DALI gradable. Fréquence: 50-60Hz AC. Tension: 220-240V. Classe disolation: classe I. LED avec le facteur de dépréciation supérieur;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2021-01-20T16:03:28+01:00</dcterms:created>
  <dcterms:modified xsi:type="dcterms:W3CDTF">2021-01-20T16:03:28+01:00</dcterms:modified>
</cp:coreProperties>
</file>

<file path=docProps/custom.xml><?xml version="1.0" encoding="utf-8"?>
<Properties xmlns="http://schemas.openxmlformats.org/officeDocument/2006/custom-properties" xmlns:vt="http://schemas.openxmlformats.org/officeDocument/2006/docPropsVTypes"/>
</file>