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4500 lm, Flujo luminoso específico: 118 lm/W. Consumo de energía: 38.0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