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4500 lm, Fluxo luminoso específico: 118 lm/W. Potência: 38.0 W, DALI regulável. Frequência: 50-60Hz AC. Tensão: 220-240V. Classe de isolamento: classe I. LED com manutenção de luz superior; após 50.000 horas de funcionamento a luminária retém 94%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