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2450 lm, Flujo luminoso específico: 123 lm/W. Consumo de energía: 20.0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