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4550 lm, Specifikt ljusutbyte: 111 lm/W. Energiförbrukning: 41.0 W, ej dimbar. Frekvens: 50-60Hz AC. Spänning: 220-240V. isoleringsklass: class I. LED med överlägset bibehållningsfaktor; efter 50000 brinntimmar behåller fixturen 92%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