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3550 lm, Specifieke lichtstroom: 104 lm/W. Opgenomen vermogen: 34.0 W, DALI dimbaar. Frequentie: 50-60Hz AC. Spanning: 220-240V. Isolatieklasse: klasse I. Led met superieure behoudfactor; na 50.000 branduren behoudt de armatuur 97% van zijn initiële lichtstroom (Tq = 25°C). Gecorreleerde kleurtemperatuur: 3000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