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2200 lm, Specifieke lichtstroom: 116 lm/W. Opgenomen vermogen: 19.0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Softlight voor niet-verblindende lichtverdeling met UGR &lt;= 19 en luminanties @ 65° 3000 Cd/m² cd/m² conform norm EN 12464-1 voor hoge visuele eisen, bv. beeldschermgebruik.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